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cs="Calibri" w:cstheme="minorHAnsi"/>
        </w:rPr>
      </w:pPr>
      <w:r>
        <w:rPr>
          <w:rFonts w:cs="Calibri" w:cstheme="minorHAnsi"/>
        </w:rPr>
        <w:t>_______________________________</w:t>
      </w:r>
    </w:p>
    <w:p>
      <w:pPr>
        <w:pStyle w:val="Normal"/>
        <w:rPr>
          <w:rFonts w:cs="Calibri" w:cstheme="minorHAnsi"/>
        </w:rPr>
      </w:pPr>
      <w:r>
        <w:rPr>
          <w:rFonts w:cs="Calibri" w:cstheme="minorHAnsi"/>
        </w:rPr>
        <w:t>Name, Vorname</w:t>
      </w:r>
    </w:p>
    <w:p>
      <w:pPr>
        <w:pStyle w:val="Normal"/>
        <w:rPr>
          <w:rFonts w:cs="Calibri" w:cstheme="minorHAnsi"/>
          <w:b/>
          <w:b/>
          <w:u w:val="single"/>
        </w:rPr>
      </w:pPr>
      <w:r>
        <w:rPr>
          <w:rFonts w:cs="Calibri" w:cstheme="minorHAnsi"/>
          <w:b/>
          <w:u w:val="single"/>
        </w:rPr>
        <w:t>_______________________________</w:t>
      </w:r>
    </w:p>
    <w:p>
      <w:pPr>
        <w:pStyle w:val="Normal"/>
        <w:rPr>
          <w:rFonts w:cs="Calibri" w:cstheme="minorHAnsi"/>
        </w:rPr>
      </w:pPr>
      <w:r>
        <w:rPr>
          <w:rFonts w:cs="Calibri" w:cstheme="minorHAnsi"/>
        </w:rPr>
        <w:t>Adresse</w:t>
      </w:r>
    </w:p>
    <w:p>
      <w:pPr>
        <w:pStyle w:val="Normal"/>
        <w:rPr>
          <w:rFonts w:cs="Calibri" w:cstheme="minorHAnsi"/>
        </w:rPr>
      </w:pPr>
      <w:r>
        <w:rPr>
          <w:rFonts w:cs="Calibri" w:cstheme="minorHAnsi"/>
        </w:rPr>
      </w:r>
    </w:p>
    <w:p>
      <w:pPr>
        <w:pStyle w:val="Normal"/>
        <w:rPr>
          <w:rFonts w:cs="Calibri" w:cstheme="minorHAnsi"/>
        </w:rPr>
      </w:pPr>
      <w:r>
        <w:rPr>
          <w:rFonts w:cs="Calibri" w:cstheme="minorHAnsi"/>
        </w:rPr>
      </w:r>
    </w:p>
    <w:p>
      <w:pPr>
        <w:pStyle w:val="Normal"/>
        <w:rPr>
          <w:rFonts w:cs="Calibri" w:cstheme="minorHAnsi"/>
        </w:rPr>
      </w:pPr>
      <w:r>
        <w:rPr>
          <w:rFonts w:cs="Calibri" w:cstheme="minorHAnsi"/>
        </w:rPr>
        <w:t>An das Bezirksamt Steglitz-Zehlendorf</w:t>
      </w:r>
    </w:p>
    <w:p>
      <w:pPr>
        <w:pStyle w:val="Normal"/>
        <w:rPr>
          <w:rFonts w:cs="Calibri" w:cstheme="minorHAnsi"/>
        </w:rPr>
      </w:pPr>
      <w:r>
        <w:rPr>
          <w:rFonts w:cs="Calibri" w:cstheme="minorHAnsi"/>
        </w:rPr>
        <w:t>Stadtplanungsamt</w:t>
      </w:r>
    </w:p>
    <w:p>
      <w:pPr>
        <w:pStyle w:val="Normal"/>
        <w:rPr>
          <w:rFonts w:cs="Calibri" w:cstheme="minorHAnsi"/>
        </w:rPr>
      </w:pPr>
      <w:r>
        <w:rPr>
          <w:rFonts w:cs="Calibri" w:cstheme="minorHAnsi"/>
        </w:rPr>
        <w:t>Kirchstr. 1/3</w:t>
      </w:r>
    </w:p>
    <w:p>
      <w:pPr>
        <w:pStyle w:val="Normal"/>
        <w:rPr>
          <w:rFonts w:cs="Calibri" w:cstheme="minorHAnsi"/>
        </w:rPr>
      </w:pPr>
      <w:r>
        <w:rPr>
          <w:rFonts w:cs="Calibri" w:cstheme="minorHAnsi"/>
        </w:rPr>
        <w:t>14163 Berlin</w:t>
      </w:r>
    </w:p>
    <w:p>
      <w:pPr>
        <w:pStyle w:val="Normal"/>
        <w:rPr>
          <w:rFonts w:cs="Calibri" w:cstheme="minorHAnsi"/>
        </w:rPr>
      </w:pPr>
      <w:r>
        <w:rPr>
          <w:rFonts w:cs="Calibri" w:cstheme="minorHAnsi"/>
        </w:rPr>
      </w:r>
    </w:p>
    <w:p>
      <w:pPr>
        <w:pStyle w:val="Normal"/>
        <w:rPr>
          <w:rFonts w:cs="Calibri" w:cstheme="minorHAnsi"/>
        </w:rPr>
      </w:pPr>
      <w:r>
        <w:rPr>
          <w:rFonts w:cs="Calibri" w:cstheme="minorHAnsi"/>
        </w:rPr>
      </w:r>
    </w:p>
    <w:p>
      <w:pPr>
        <w:pStyle w:val="Normal"/>
        <w:rPr>
          <w:rFonts w:cs="Calibri" w:cstheme="minorHAnsi"/>
          <w:b/>
          <w:b/>
          <w:u w:val="single"/>
        </w:rPr>
      </w:pPr>
      <w:r>
        <w:rPr>
          <w:rFonts w:cs="Calibri" w:cstheme="minorHAnsi"/>
          <w:b/>
          <w:u w:val="single"/>
        </w:rPr>
        <w:t>Bebauungsplan 6-30 (Lichterfelde Süd/Parks Range</w:t>
      </w:r>
    </w:p>
    <w:p>
      <w:pPr>
        <w:pStyle w:val="Normal"/>
        <w:rPr>
          <w:rFonts w:cs="Calibri" w:cstheme="minorHAnsi"/>
          <w:b/>
          <w:b/>
          <w:u w:val="single"/>
        </w:rPr>
      </w:pPr>
      <w:r>
        <w:rPr>
          <w:rFonts w:cs="Calibri" w:cstheme="minorHAnsi"/>
          <w:b/>
          <w:u w:val="single"/>
        </w:rPr>
        <w:t>Einwendungen aus Anlass der Öffentlichkeitsbeteiligung gem. § 3 Abs. 2 BauGB</w:t>
      </w:r>
    </w:p>
    <w:p>
      <w:pPr>
        <w:pStyle w:val="Normal"/>
        <w:rPr>
          <w:rFonts w:cs="Calibri" w:cstheme="minorHAnsi"/>
          <w:b/>
          <w:b/>
          <w:u w:val="single"/>
        </w:rPr>
      </w:pPr>
      <w:r>
        <w:rPr>
          <w:rFonts w:cs="Calibri" w:cstheme="minorHAnsi"/>
          <w:b/>
          <w:u w:val="single"/>
        </w:rPr>
      </w:r>
    </w:p>
    <w:p>
      <w:pPr>
        <w:pStyle w:val="Normal"/>
        <w:rPr>
          <w:rFonts w:cs="Calibri" w:cstheme="minorHAnsi"/>
          <w:b/>
          <w:b/>
        </w:rPr>
      </w:pPr>
      <w:r>
        <w:rPr>
          <w:rFonts w:cs="Calibri" w:cstheme="minorHAnsi"/>
          <w:b/>
        </w:rPr>
        <w:t>Ich erhebe gegen die o.g. Planung folgende Einwendungen und Forderungen:</w:t>
      </w:r>
    </w:p>
    <w:p>
      <w:pPr>
        <w:pStyle w:val="Normal"/>
        <w:rPr>
          <w:rFonts w:cs="Calibri" w:cstheme="minorHAnsi"/>
        </w:rPr>
      </w:pPr>
      <w:r>
        <w:rPr>
          <w:rFonts w:cs="Calibri" w:cstheme="minorHAnsi"/>
        </w:rPr>
      </w:r>
    </w:p>
    <w:p>
      <w:pPr>
        <w:pStyle w:val="ListParagraph"/>
        <w:numPr>
          <w:ilvl w:val="0"/>
          <w:numId w:val="1"/>
        </w:numPr>
        <w:rPr/>
      </w:pPr>
      <w:r>
        <w:rPr/>
        <w:t>Die Auslegungsfrist gem. § 3 Abs. 2 BauGB ist angesichts der Komplexität der Unterlagen und des Plans auf drei Monate zu verlängern</w:t>
      </w:r>
    </w:p>
    <w:p>
      <w:pPr>
        <w:pStyle w:val="ListParagraph"/>
        <w:numPr>
          <w:ilvl w:val="0"/>
          <w:numId w:val="1"/>
        </w:numPr>
        <w:rPr/>
      </w:pPr>
      <w:r>
        <w:rPr/>
        <w:t xml:space="preserve">Die Zahl der möglichen Wohnungen ist erheblich zu verringern. Es werden maximal 1.600 neue Wohnungen in dem Plangebiet unter naturschutzfachlichen und verkehrlichen Gesichtspunkten für vertretbar gehalten. Das bebaubare Gebiet ist entsprechend dem von dem Bezirk eingeholten naturschutzfachlichen Gutachten Fugmann Janotta 2012 zu verkleinern. </w:t>
      </w:r>
    </w:p>
    <w:p>
      <w:pPr>
        <w:pStyle w:val="ListParagraph"/>
        <w:numPr>
          <w:ilvl w:val="0"/>
          <w:numId w:val="2"/>
        </w:numPr>
        <w:spacing w:lineRule="auto" w:line="240" w:beforeAutospacing="1" w:after="165"/>
        <w:contextualSpacing/>
        <w:jc w:val="both"/>
        <w:rPr/>
      </w:pPr>
      <w:r>
        <w:rPr/>
        <w:t>Alle Gutachten sind den ganz offensichtlich viel höheren Wohnungszahlen als den kommunizierten „ca“ 2.500 anzupassen.</w:t>
      </w:r>
    </w:p>
    <w:p>
      <w:pPr>
        <w:pStyle w:val="ListParagraph"/>
        <w:numPr>
          <w:ilvl w:val="0"/>
          <w:numId w:val="2"/>
        </w:numPr>
        <w:spacing w:lineRule="auto" w:line="240" w:before="0" w:after="165"/>
        <w:contextualSpacing/>
        <w:jc w:val="both"/>
        <w:rPr/>
      </w:pPr>
      <w:r>
        <w:rPr>
          <w:rFonts w:eastAsia="Times New Roman"/>
        </w:rPr>
        <w:t>D</w:t>
      </w:r>
      <w:r>
        <w:rPr/>
        <w:t>as gesamte Planungsgebiet und seine Umgebung ist in die Lärmaktionsplanung des Landes Berlin aufzunehmen.</w:t>
      </w:r>
    </w:p>
    <w:p>
      <w:pPr>
        <w:pStyle w:val="ListParagraph"/>
        <w:numPr>
          <w:ilvl w:val="0"/>
          <w:numId w:val="1"/>
        </w:numPr>
        <w:rPr>
          <w:rFonts w:cs="Calibri" w:cstheme="minorHAnsi"/>
        </w:rPr>
      </w:pPr>
      <w:r>
        <w:rPr>
          <w:rFonts w:cs="Calibri" w:cstheme="minorHAnsi"/>
        </w:rPr>
        <w:t>Einbeziehung der Grundstücksfläche des Gemeinbedarfs Scheelestr. 145 entlang der Osdorfer Straße (Gartenseite des Geländes) in aktive Schallschutzmaßnahmen vergleichbar der aktiven Lärmschutzmaßnahmen für die KiTa Reaumurstraße auf Kosten des Investors.</w:t>
      </w:r>
    </w:p>
    <w:p>
      <w:pPr>
        <w:pStyle w:val="ListParagraph"/>
        <w:numPr>
          <w:ilvl w:val="0"/>
          <w:numId w:val="1"/>
        </w:numPr>
        <w:rPr/>
      </w:pPr>
      <w:r>
        <w:rPr/>
        <w:t>Westlich der Bahn hat der Investor in dem von Lärmreflexionen betroffenen Bereich eine mindestens zwei Meter hohe Lärmschutzwand zu finanzieren, um den Lärmanstieg durch den durch die geplanten Bauten verursachten Reflexionslärm zu kompensieren.</w:t>
      </w:r>
    </w:p>
    <w:p>
      <w:pPr>
        <w:pStyle w:val="ListParagraph"/>
        <w:numPr>
          <w:ilvl w:val="0"/>
          <w:numId w:val="1"/>
        </w:numPr>
        <w:rPr/>
      </w:pPr>
      <w:r>
        <w:rPr/>
        <w:t>Bei der Lärmberechnung ist der Schienenbonus nicht lärmmindernd zu berücksichtigen.</w:t>
      </w:r>
    </w:p>
    <w:p>
      <w:pPr>
        <w:pStyle w:val="ListParagraph"/>
        <w:numPr>
          <w:ilvl w:val="0"/>
          <w:numId w:val="1"/>
        </w:numPr>
        <w:rPr/>
      </w:pPr>
      <w:r>
        <w:rPr/>
        <w:t>Der Anteil der nicht graugussgebremsten Güterzüge/-wagen ist lediglich in einem realistischen Umfang zu berücksichtigen und zwar nicht nur auf dem östlichen Gleis</w:t>
      </w:r>
    </w:p>
    <w:p>
      <w:pPr>
        <w:pStyle w:val="ListParagraph"/>
        <w:numPr>
          <w:ilvl w:val="0"/>
          <w:numId w:val="1"/>
        </w:numPr>
        <w:rPr/>
      </w:pPr>
      <w:r>
        <w:rPr/>
        <w:t>Der Flugverkehr des BER einschließlich der Sportflugzeuge auf den Flugrouten „Whiskey I und II“ ist bei der Lärmbeurteilung zu berücksichtigen</w:t>
      </w:r>
    </w:p>
    <w:p>
      <w:pPr>
        <w:pStyle w:val="ListParagraph"/>
        <w:numPr>
          <w:ilvl w:val="0"/>
          <w:numId w:val="3"/>
        </w:numPr>
        <w:spacing w:lineRule="auto" w:line="240" w:before="0" w:after="0"/>
        <w:ind w:left="708" w:hanging="360"/>
        <w:contextualSpacing/>
        <w:jc w:val="both"/>
        <w:rPr>
          <w:rFonts w:cs="Calibri" w:cstheme="minorHAnsi"/>
        </w:rPr>
      </w:pPr>
      <w:r>
        <w:rPr/>
        <w:t xml:space="preserve">Der bereits heute auf den umliegenden Straßen abgewickelte Verkehr und der durch die Bauvorhaben zusätzlich zu erwartende Verkehr ist von unabhängigen Gutachtern zu ermitteln und zu bewerten und es sind realistische Vorgaben unter Berücksichtigung der </w:t>
      </w:r>
      <w:r>
        <w:rPr>
          <w:rFonts w:cs="Calibri" w:cstheme="minorHAnsi"/>
          <w:b/>
        </w:rPr>
        <w:t>maximal realistischen Zahl</w:t>
      </w:r>
      <w:r>
        <w:rPr>
          <w:rFonts w:cs="Calibri" w:cstheme="minorHAnsi"/>
        </w:rPr>
        <w:t xml:space="preserve"> von Wohneinheiten, und Kfz Stellplätzen</w:t>
      </w:r>
      <w:r>
        <w:rPr/>
        <w:t xml:space="preserve"> und der zusätzlichen Bewohner und für die Bewältigung des zusätzlichen Verkehrs in die Planung aufzunehmen</w:t>
      </w:r>
      <w:r>
        <w:rPr>
          <w:rFonts w:cs="Calibri" w:cstheme="minorHAnsi"/>
        </w:rPr>
        <w:t>. Bereits heute sollen verkehrsverbessernde sowie Verkehrsteilnehmer schützende Maßnahmen in Umsetzung des Mobilitätsgesetzes im Bereich des Ostpreußendamms und seinen Kreuzungen durch das Land Berlin entwickelt werden, die so schnell wie möglich vor Baubeginn zur Umsetzung kommen sollen. Weiterhin Berücksichtigung eines zunehmenden privaten Kfz-Verkehrs durch fortwährende SarsCoV2 Pandemie!</w:t>
      </w:r>
    </w:p>
    <w:p>
      <w:pPr>
        <w:pStyle w:val="ListParagraph"/>
        <w:numPr>
          <w:ilvl w:val="0"/>
          <w:numId w:val="1"/>
        </w:numPr>
        <w:rPr/>
      </w:pPr>
      <w:r>
        <w:rPr/>
        <w:t xml:space="preserve">Beauftragung Erstellung eines </w:t>
      </w:r>
      <w:r>
        <w:rPr>
          <w:rFonts w:cs="Calibri"/>
          <w:sz w:val="23"/>
          <w:szCs w:val="23"/>
        </w:rPr>
        <w:t xml:space="preserve">unabhängigen Klimagutachtens zum Bebauungsplan 6 – 30 Lichterfelde Süd etwa durch das </w:t>
      </w:r>
      <w:r>
        <w:rPr>
          <w:rFonts w:cs="Calibri"/>
          <w:b/>
          <w:bCs/>
          <w:sz w:val="23"/>
          <w:szCs w:val="23"/>
        </w:rPr>
        <w:t>Potsdam-Institut für Klimafolgenforschung e. V.</w:t>
      </w:r>
      <w:r>
        <w:rPr>
          <w:rFonts w:cs="Calibri"/>
          <w:sz w:val="23"/>
          <w:szCs w:val="23"/>
        </w:rPr>
        <w:t xml:space="preserve">, u. a. nach dem Kaltluftabfluss-Modell KLAM_21 und dem Klimasimulationsmodell MUKLIMO_3. </w:t>
      </w:r>
      <w:r>
        <w:rPr>
          <w:rFonts w:cs="Calibri" w:cstheme="minorHAnsi"/>
        </w:rPr>
        <w:t>Die Planung schaffe Abhilfe gegen die „hohe vorhabenbedingte Auswirkung“ auf die klimatischen Bedingungen im Umfeld der Planung, die bis zur Lindenstraße reicht! Im inzwischen schnellen Tempo des Klimawandelfortgangs widerspräche es dem Gesundheitsschutz der Bevölkerung, solche Auswirkungen unbeachtet zu lassen. Planungsaufgabe ist es, Konflikte aufzuheben. Das gilt erst recht für gesundheitliche Belastungen, die im Fall von Hitze eine erhöhte Mortalitätsrate in betroffenen Gebieten nach sich zieht!</w:t>
      </w:r>
    </w:p>
    <w:p>
      <w:pPr>
        <w:pStyle w:val="ListParagraph"/>
        <w:numPr>
          <w:ilvl w:val="0"/>
          <w:numId w:val="1"/>
        </w:numPr>
        <w:spacing w:lineRule="auto" w:line="240" w:before="0" w:after="0"/>
        <w:contextualSpacing/>
        <w:jc w:val="both"/>
        <w:rPr>
          <w:rFonts w:cs="Calibri" w:cstheme="minorHAnsi"/>
        </w:rPr>
      </w:pPr>
      <w:r>
        <w:rPr>
          <w:rFonts w:cs="Calibri" w:cstheme="minorHAnsi"/>
        </w:rPr>
        <w:t>Neuaufnahme der Prüfung zur Waldumwandlung nach Alternativen, die das ETÜP Wäldchen, auch als zusammenhängende Waldfläche im Verbund zum „Osdorfer Wäldchen“ und Waldflächen im Süden und Westen (Rest von Wald D) erhalten.</w:t>
      </w:r>
    </w:p>
    <w:p>
      <w:pPr>
        <w:pStyle w:val="ListParagraph"/>
        <w:numPr>
          <w:ilvl w:val="0"/>
          <w:numId w:val="1"/>
        </w:numPr>
        <w:rPr/>
      </w:pPr>
      <w:r>
        <w:rPr>
          <w:rFonts w:cs="Calibri" w:cstheme="minorHAnsi"/>
        </w:rPr>
        <w:t>Reduzierung der Gesamtzahl geplanter Einfamilienhäuser vor dem Hintergrund der Flächenversiegelung im Klimawandel.</w:t>
      </w:r>
    </w:p>
    <w:p>
      <w:pPr>
        <w:pStyle w:val="Normal"/>
        <w:rPr/>
      </w:pPr>
      <w:r>
        <w:rPr/>
      </w:r>
    </w:p>
    <w:p>
      <w:pPr>
        <w:pStyle w:val="Normal"/>
        <w:ind w:left="4248" w:firstLine="708"/>
        <w:rPr/>
      </w:pPr>
      <w:r>
        <w:rPr/>
        <w:t>____________________________________</w:t>
      </w:r>
    </w:p>
    <w:p>
      <w:pPr>
        <w:pStyle w:val="Normal"/>
        <w:ind w:left="4248" w:firstLine="708"/>
        <w:rPr/>
      </w:pPr>
      <w:bookmarkStart w:id="0" w:name="_GoBack"/>
      <w:bookmarkEnd w:id="0"/>
      <w:r>
        <w:rPr/>
        <w:t xml:space="preserve">Datum </w:t>
        <w:tab/>
        <w:tab/>
        <w:tab/>
        <w:t>Unterschrift</w:t>
      </w:r>
    </w:p>
    <w:p>
      <w:pPr>
        <w:pStyle w:val="Normal"/>
        <w:spacing w:before="0" w:after="160"/>
        <w:ind w:left="6372" w:hanging="0"/>
        <w:rPr/>
      </w:pPr>
      <w:r>
        <w:rPr/>
      </w:r>
    </w:p>
    <w:sectPr>
      <w:type w:val="nextPage"/>
      <w:pgSz w:w="11906" w:h="16838"/>
      <w:pgMar w:left="1417" w:right="1417" w:gutter="0" w:header="0" w:top="1417"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2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0d2207"/>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istParagraph">
    <w:name w:val="List Paragraph"/>
    <w:basedOn w:val="Normal"/>
    <w:uiPriority w:val="34"/>
    <w:qFormat/>
    <w:rsid w:val="000d2207"/>
    <w:pPr>
      <w:spacing w:before="0" w:after="160"/>
      <w:ind w:left="720" w:hanging="0"/>
      <w:contextualSpacing/>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LibreOffice/7.3.5.2$Linux_X86_64 LibreOffice_project/30$Build-2</Application>
  <AppVersion>15.0000</AppVersion>
  <Pages>2</Pages>
  <Words>505</Words>
  <Characters>3448</Characters>
  <CharactersWithSpaces>3919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2022-09-04T11:44:00Z</dcterms:created>
  <dc:creator>G &amp; C</dc:creator>
  <dc:description/>
  <dc:language>de-DE</dc:language>
  <cp:lastModifiedBy>G &amp; C</cp:lastModifiedBy>
  <dcterms:modified xsi:type="dcterms:W3CDTF">2022-09-04T12:01:00Z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